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ascii="宋体" w:hAnsi="宋体"/>
          <w:b/>
          <w:color w:val="00B0F0"/>
          <w:sz w:val="24"/>
        </w:rPr>
      </w:pPr>
      <w:r>
        <w:rPr>
          <w:rFonts w:hint="eastAsia" w:ascii="宋体" w:hAnsi="宋体"/>
          <w:b/>
          <w:sz w:val="24"/>
        </w:rPr>
        <w:t>评分标准：本项目总分为</w:t>
      </w:r>
      <w:r>
        <w:rPr>
          <w:rFonts w:ascii="宋体" w:hAnsi="宋体"/>
          <w:b/>
          <w:sz w:val="24"/>
          <w:u w:val="single"/>
        </w:rPr>
        <w:t>100</w:t>
      </w:r>
      <w:r>
        <w:rPr>
          <w:rFonts w:hint="eastAsia" w:ascii="宋体" w:hAnsi="宋体"/>
          <w:b/>
          <w:sz w:val="24"/>
        </w:rPr>
        <w:t>分，其中：技术部分</w:t>
      </w:r>
      <w:r>
        <w:rPr>
          <w:rFonts w:hint="eastAsia" w:ascii="宋体" w:hAnsi="宋体"/>
          <w:b/>
          <w:sz w:val="24"/>
          <w:u w:val="single"/>
          <w:lang w:val="en-US" w:eastAsia="zh-CN"/>
        </w:rPr>
        <w:t>40</w:t>
      </w:r>
      <w:r>
        <w:rPr>
          <w:rFonts w:hint="eastAsia" w:ascii="宋体" w:hAnsi="宋体"/>
          <w:b/>
          <w:sz w:val="24"/>
        </w:rPr>
        <w:t>分，综合部分</w:t>
      </w:r>
      <w:r>
        <w:rPr>
          <w:rFonts w:ascii="宋体" w:hAnsi="宋体"/>
          <w:b/>
          <w:sz w:val="24"/>
          <w:u w:val="single"/>
        </w:rPr>
        <w:t xml:space="preserve"> </w:t>
      </w:r>
      <w:r>
        <w:rPr>
          <w:rFonts w:hint="eastAsia" w:ascii="宋体" w:hAnsi="宋体"/>
          <w:b/>
          <w:sz w:val="24"/>
          <w:u w:val="single"/>
          <w:lang w:val="en-US" w:eastAsia="zh-CN"/>
        </w:rPr>
        <w:t>20</w:t>
      </w:r>
      <w:r>
        <w:rPr>
          <w:rFonts w:hint="eastAsia" w:ascii="宋体" w:hAnsi="宋体"/>
          <w:b/>
          <w:sz w:val="24"/>
        </w:rPr>
        <w:t>分，价格部分</w:t>
      </w:r>
      <w:r>
        <w:rPr>
          <w:rFonts w:hint="eastAsia" w:ascii="宋体" w:hAnsi="宋体"/>
          <w:b/>
          <w:sz w:val="24"/>
          <w:u w:val="single"/>
          <w:lang w:val="en-US" w:eastAsia="zh-CN"/>
        </w:rPr>
        <w:t>40</w:t>
      </w:r>
      <w:bookmarkStart w:id="0" w:name="_GoBack"/>
      <w:bookmarkEnd w:id="0"/>
      <w:r>
        <w:rPr>
          <w:rFonts w:ascii="宋体" w:hAnsi="宋体"/>
          <w:b/>
          <w:sz w:val="24"/>
          <w:u w:val="single"/>
        </w:rPr>
        <w:t xml:space="preserve"> </w:t>
      </w:r>
      <w:r>
        <w:rPr>
          <w:rFonts w:hint="eastAsia" w:ascii="宋体" w:hAnsi="宋体"/>
          <w:b/>
          <w:sz w:val="24"/>
        </w:rPr>
        <w:t>分。</w:t>
      </w:r>
    </w:p>
    <w:tbl>
      <w:tblPr>
        <w:tblStyle w:val="3"/>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266"/>
        <w:gridCol w:w="5682"/>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8" w:type="dxa"/>
            <w:noWrap w:val="0"/>
            <w:vAlign w:val="center"/>
          </w:tcPr>
          <w:p>
            <w:pPr>
              <w:widowControl/>
              <w:spacing w:line="400" w:lineRule="exact"/>
              <w:rPr>
                <w:kern w:val="0"/>
                <w:szCs w:val="21"/>
              </w:rPr>
            </w:pPr>
            <w:r>
              <w:rPr>
                <w:kern w:val="0"/>
                <w:szCs w:val="21"/>
              </w:rPr>
              <w:t>评标项目</w:t>
            </w:r>
          </w:p>
        </w:tc>
        <w:tc>
          <w:tcPr>
            <w:tcW w:w="1266" w:type="dxa"/>
            <w:noWrap w:val="0"/>
            <w:vAlign w:val="center"/>
          </w:tcPr>
          <w:p>
            <w:pPr>
              <w:widowControl/>
              <w:spacing w:line="400" w:lineRule="exact"/>
              <w:jc w:val="center"/>
              <w:rPr>
                <w:kern w:val="0"/>
                <w:szCs w:val="21"/>
              </w:rPr>
            </w:pPr>
            <w:r>
              <w:rPr>
                <w:kern w:val="0"/>
                <w:szCs w:val="21"/>
              </w:rPr>
              <w:t>评标分项</w:t>
            </w:r>
          </w:p>
        </w:tc>
        <w:tc>
          <w:tcPr>
            <w:tcW w:w="5682" w:type="dxa"/>
            <w:noWrap w:val="0"/>
            <w:vAlign w:val="center"/>
          </w:tcPr>
          <w:p>
            <w:pPr>
              <w:widowControl/>
              <w:spacing w:line="400" w:lineRule="exact"/>
              <w:jc w:val="center"/>
              <w:rPr>
                <w:kern w:val="0"/>
                <w:szCs w:val="21"/>
              </w:rPr>
            </w:pPr>
            <w:r>
              <w:rPr>
                <w:kern w:val="0"/>
                <w:szCs w:val="21"/>
              </w:rPr>
              <w:t>评标分项及分值</w:t>
            </w:r>
          </w:p>
        </w:tc>
        <w:tc>
          <w:tcPr>
            <w:tcW w:w="785" w:type="dxa"/>
            <w:noWrap w:val="0"/>
            <w:vAlign w:val="center"/>
          </w:tcPr>
          <w:p>
            <w:pPr>
              <w:widowControl/>
              <w:spacing w:line="400" w:lineRule="exact"/>
              <w:rPr>
                <w:kern w:val="0"/>
                <w:szCs w:val="21"/>
              </w:rPr>
            </w:pPr>
            <w:r>
              <w:rPr>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178" w:type="dxa"/>
            <w:noWrap w:val="0"/>
            <w:vAlign w:val="center"/>
          </w:tcPr>
          <w:p>
            <w:pPr>
              <w:widowControl/>
              <w:spacing w:line="400" w:lineRule="exact"/>
              <w:rPr>
                <w:rFonts w:hint="eastAsia"/>
                <w:kern w:val="0"/>
                <w:szCs w:val="21"/>
              </w:rPr>
            </w:pPr>
            <w:r>
              <w:rPr>
                <w:rFonts w:hint="eastAsia"/>
                <w:kern w:val="0"/>
                <w:szCs w:val="21"/>
              </w:rPr>
              <w:t>价格部分（</w:t>
            </w:r>
            <w:r>
              <w:rPr>
                <w:rFonts w:hint="eastAsia"/>
                <w:kern w:val="0"/>
                <w:szCs w:val="21"/>
                <w:lang w:val="en-US" w:eastAsia="zh-CN"/>
              </w:rPr>
              <w:t>40</w:t>
            </w:r>
            <w:r>
              <w:rPr>
                <w:rFonts w:hint="eastAsia"/>
                <w:kern w:val="0"/>
                <w:szCs w:val="21"/>
              </w:rPr>
              <w:t>分）</w:t>
            </w:r>
          </w:p>
        </w:tc>
        <w:tc>
          <w:tcPr>
            <w:tcW w:w="6948" w:type="dxa"/>
            <w:gridSpan w:val="2"/>
            <w:noWrap w:val="0"/>
            <w:vAlign w:val="center"/>
          </w:tcPr>
          <w:p>
            <w:pPr>
              <w:spacing w:line="400" w:lineRule="exact"/>
              <w:rPr>
                <w:rFonts w:hint="default" w:eastAsia="宋体"/>
                <w:lang w:val="en-US" w:eastAsia="zh-CN"/>
              </w:rPr>
            </w:pPr>
            <w:r>
              <w:t>价格分统一采用低价优先法计算，即满足磋商文件要求且投标价格最低的投标报价为</w:t>
            </w:r>
            <w:r>
              <w:rPr>
                <w:rFonts w:hint="eastAsia"/>
              </w:rPr>
              <w:t>磋商</w:t>
            </w:r>
            <w:r>
              <w:t>基准价，其价格分为满分。其他</w:t>
            </w:r>
            <w:r>
              <w:rPr>
                <w:rFonts w:hint="eastAsia"/>
              </w:rPr>
              <w:t>供应商</w:t>
            </w:r>
            <w:r>
              <w:t>的价格分统一按照下列公式计算：磋商报价得分=（磋商基准价/最后磋商报价）×</w:t>
            </w:r>
            <w:r>
              <w:rPr>
                <w:rFonts w:hint="eastAsia"/>
                <w:lang w:val="en-US" w:eastAsia="zh-CN"/>
              </w:rPr>
              <w:t>40</w:t>
            </w:r>
          </w:p>
        </w:tc>
        <w:tc>
          <w:tcPr>
            <w:tcW w:w="785" w:type="dxa"/>
            <w:noWrap/>
            <w:vAlign w:val="center"/>
          </w:tcPr>
          <w:p>
            <w:pPr>
              <w:spacing w:line="360" w:lineRule="exact"/>
              <w:jc w:val="center"/>
              <w:rPr>
                <w:rFonts w:hint="default" w:eastAsia="宋体"/>
                <w:kern w:val="0"/>
                <w:szCs w:val="21"/>
                <w:lang w:val="en-US" w:eastAsia="zh-CN"/>
              </w:rPr>
            </w:pPr>
            <w:r>
              <w:rPr>
                <w:rFonts w:hint="eastAsia"/>
                <w:kern w:val="0"/>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178" w:type="dxa"/>
            <w:vMerge w:val="restart"/>
            <w:noWrap w:val="0"/>
            <w:vAlign w:val="center"/>
          </w:tcPr>
          <w:p>
            <w:pPr>
              <w:widowControl/>
              <w:spacing w:line="400" w:lineRule="exact"/>
              <w:rPr>
                <w:kern w:val="0"/>
                <w:szCs w:val="21"/>
              </w:rPr>
            </w:pPr>
            <w:r>
              <w:rPr>
                <w:rFonts w:hint="eastAsia"/>
                <w:kern w:val="0"/>
                <w:szCs w:val="21"/>
              </w:rPr>
              <w:t>综合</w:t>
            </w:r>
            <w:r>
              <w:rPr>
                <w:kern w:val="0"/>
                <w:szCs w:val="21"/>
              </w:rPr>
              <w:t>部分（</w:t>
            </w:r>
            <w:r>
              <w:rPr>
                <w:rFonts w:hint="eastAsia"/>
                <w:kern w:val="0"/>
                <w:szCs w:val="21"/>
                <w:lang w:val="en-US" w:eastAsia="zh-CN"/>
              </w:rPr>
              <w:t>20</w:t>
            </w:r>
            <w:r>
              <w:rPr>
                <w:kern w:val="0"/>
                <w:szCs w:val="21"/>
              </w:rPr>
              <w:t>分）</w:t>
            </w:r>
          </w:p>
        </w:tc>
        <w:tc>
          <w:tcPr>
            <w:tcW w:w="6948" w:type="dxa"/>
            <w:gridSpan w:val="2"/>
            <w:noWrap w:val="0"/>
            <w:vAlign w:val="center"/>
          </w:tcPr>
          <w:p>
            <w:pPr>
              <w:spacing w:line="320" w:lineRule="exact"/>
              <w:rPr>
                <w:kern w:val="0"/>
                <w:szCs w:val="21"/>
              </w:rPr>
            </w:pPr>
            <w:r>
              <w:rPr>
                <w:rFonts w:hint="eastAsia"/>
                <w:kern w:val="0"/>
                <w:szCs w:val="21"/>
              </w:rPr>
              <w:t>根据供应商提供的针对本项目现场响应方案、技术服务方案、技术支持方案以及本项目的现场培训、集中培训方案酌情给分。优得</w:t>
            </w:r>
            <w:r>
              <w:rPr>
                <w:rFonts w:hint="eastAsia"/>
                <w:kern w:val="0"/>
                <w:szCs w:val="21"/>
                <w:lang w:val="en-US" w:eastAsia="zh-CN"/>
              </w:rPr>
              <w:t>5</w:t>
            </w:r>
            <w:r>
              <w:rPr>
                <w:rFonts w:hint="eastAsia"/>
                <w:kern w:val="0"/>
                <w:szCs w:val="21"/>
              </w:rPr>
              <w:t>分，良好得</w:t>
            </w:r>
            <w:r>
              <w:rPr>
                <w:rFonts w:hint="eastAsia"/>
                <w:kern w:val="0"/>
                <w:szCs w:val="21"/>
                <w:lang w:val="en-US" w:eastAsia="zh-CN"/>
              </w:rPr>
              <w:t>3</w:t>
            </w:r>
            <w:r>
              <w:rPr>
                <w:rFonts w:hint="eastAsia"/>
                <w:kern w:val="0"/>
                <w:szCs w:val="21"/>
              </w:rPr>
              <w:t>-</w:t>
            </w:r>
            <w:r>
              <w:rPr>
                <w:rFonts w:hint="eastAsia"/>
                <w:kern w:val="0"/>
                <w:szCs w:val="21"/>
                <w:lang w:val="en-US" w:eastAsia="zh-CN"/>
              </w:rPr>
              <w:t>4</w:t>
            </w:r>
            <w:r>
              <w:rPr>
                <w:rFonts w:hint="eastAsia"/>
                <w:kern w:val="0"/>
                <w:szCs w:val="21"/>
              </w:rPr>
              <w:t>分，一般得1分。</w:t>
            </w:r>
          </w:p>
        </w:tc>
        <w:tc>
          <w:tcPr>
            <w:tcW w:w="785" w:type="dxa"/>
            <w:noWrap/>
            <w:vAlign w:val="center"/>
          </w:tcPr>
          <w:p>
            <w:pPr>
              <w:spacing w:line="360" w:lineRule="exact"/>
              <w:jc w:val="center"/>
              <w:rPr>
                <w:rFonts w:hint="eastAsia" w:eastAsia="宋体"/>
                <w:kern w:val="0"/>
                <w:szCs w:val="21"/>
                <w:lang w:eastAsia="zh-CN"/>
              </w:rPr>
            </w:pPr>
            <w:r>
              <w:rPr>
                <w:rFonts w:hint="eastAsia"/>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178" w:type="dxa"/>
            <w:vMerge w:val="continue"/>
            <w:noWrap w:val="0"/>
            <w:vAlign w:val="center"/>
          </w:tcPr>
          <w:p>
            <w:pPr>
              <w:widowControl/>
              <w:spacing w:line="400" w:lineRule="exact"/>
              <w:ind w:firstLine="409" w:firstLineChars="195"/>
              <w:jc w:val="center"/>
              <w:rPr>
                <w:kern w:val="0"/>
                <w:szCs w:val="21"/>
              </w:rPr>
            </w:pPr>
          </w:p>
        </w:tc>
        <w:tc>
          <w:tcPr>
            <w:tcW w:w="6948" w:type="dxa"/>
            <w:gridSpan w:val="2"/>
            <w:noWrap w:val="0"/>
            <w:vAlign w:val="center"/>
          </w:tcPr>
          <w:p>
            <w:pPr>
              <w:spacing w:line="320" w:lineRule="exact"/>
              <w:rPr>
                <w:kern w:val="0"/>
                <w:szCs w:val="21"/>
              </w:rPr>
            </w:pPr>
            <w:r>
              <w:rPr>
                <w:rFonts w:hint="eastAsia"/>
                <w:kern w:val="0"/>
                <w:szCs w:val="21"/>
              </w:rPr>
              <w:t>供应商或其协作单位通过ISO15189认可的，得</w:t>
            </w:r>
            <w:r>
              <w:rPr>
                <w:rFonts w:hint="eastAsia"/>
                <w:kern w:val="0"/>
                <w:szCs w:val="21"/>
                <w:lang w:val="en-US" w:eastAsia="zh-CN"/>
              </w:rPr>
              <w:t>3</w:t>
            </w:r>
            <w:r>
              <w:rPr>
                <w:rFonts w:hint="eastAsia"/>
                <w:kern w:val="0"/>
                <w:szCs w:val="21"/>
              </w:rPr>
              <w:t>分。（提供相关证明材料并加盖供应商公章，协作单位需提供合作协议并加盖供应商公章，否则不得分。）</w:t>
            </w:r>
          </w:p>
        </w:tc>
        <w:tc>
          <w:tcPr>
            <w:tcW w:w="785" w:type="dxa"/>
            <w:noWrap/>
            <w:vAlign w:val="center"/>
          </w:tcPr>
          <w:p>
            <w:pPr>
              <w:spacing w:line="360" w:lineRule="exact"/>
              <w:jc w:val="center"/>
              <w:rPr>
                <w:rFonts w:hint="eastAsia" w:eastAsia="宋体"/>
                <w:kern w:val="0"/>
                <w:szCs w:val="21"/>
                <w:lang w:eastAsia="zh-CN"/>
              </w:rPr>
            </w:pPr>
            <w:r>
              <w:rPr>
                <w:rFonts w:hint="eastAsia"/>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178" w:type="dxa"/>
            <w:vMerge w:val="continue"/>
            <w:noWrap w:val="0"/>
            <w:vAlign w:val="center"/>
          </w:tcPr>
          <w:p>
            <w:pPr>
              <w:widowControl/>
              <w:spacing w:line="400" w:lineRule="exact"/>
              <w:ind w:firstLine="409" w:firstLineChars="195"/>
              <w:jc w:val="center"/>
              <w:rPr>
                <w:kern w:val="0"/>
                <w:szCs w:val="21"/>
              </w:rPr>
            </w:pPr>
          </w:p>
        </w:tc>
        <w:tc>
          <w:tcPr>
            <w:tcW w:w="6948" w:type="dxa"/>
            <w:gridSpan w:val="2"/>
            <w:noWrap w:val="0"/>
            <w:vAlign w:val="center"/>
          </w:tcPr>
          <w:p>
            <w:pPr>
              <w:spacing w:line="32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highlight w:val="none"/>
              </w:rPr>
              <w:t>提供近</w:t>
            </w:r>
            <w:r>
              <w:rPr>
                <w:rFonts w:hint="eastAsia" w:asciiTheme="minorEastAsia" w:hAnsiTheme="minorEastAsia" w:eastAsiaTheme="minorEastAsia" w:cstheme="minorEastAsia"/>
                <w:sz w:val="21"/>
                <w:szCs w:val="21"/>
                <w:highlight w:val="none"/>
                <w:lang w:val="en-US" w:eastAsia="zh-CN"/>
              </w:rPr>
              <w:t>二</w:t>
            </w:r>
            <w:r>
              <w:rPr>
                <w:rFonts w:hint="eastAsia" w:asciiTheme="minorEastAsia" w:hAnsiTheme="minorEastAsia" w:eastAsiaTheme="minorEastAsia" w:cstheme="minorEastAsia"/>
                <w:sz w:val="21"/>
                <w:szCs w:val="21"/>
                <w:highlight w:val="none"/>
              </w:rPr>
              <w:t>年来湖北省</w:t>
            </w:r>
            <w:r>
              <w:rPr>
                <w:rFonts w:hint="eastAsia" w:asciiTheme="minorEastAsia" w:hAnsiTheme="minorEastAsia" w:eastAsiaTheme="minorEastAsia" w:cstheme="minorEastAsia"/>
                <w:sz w:val="21"/>
                <w:szCs w:val="21"/>
                <w:highlight w:val="none"/>
                <w:lang w:val="en-US" w:eastAsia="zh-CN"/>
              </w:rPr>
              <w:t>二</w:t>
            </w:r>
            <w:r>
              <w:rPr>
                <w:rFonts w:hint="eastAsia" w:asciiTheme="minorEastAsia" w:hAnsiTheme="minorEastAsia" w:eastAsiaTheme="minorEastAsia" w:cstheme="minorEastAsia"/>
                <w:sz w:val="21"/>
                <w:szCs w:val="21"/>
                <w:highlight w:val="none"/>
              </w:rPr>
              <w:t>级甲等医院</w:t>
            </w:r>
            <w:r>
              <w:rPr>
                <w:rFonts w:hint="eastAsia" w:asciiTheme="minorEastAsia" w:hAnsiTheme="minorEastAsia" w:eastAsiaTheme="minorEastAsia" w:cstheme="minorEastAsia"/>
                <w:sz w:val="21"/>
                <w:szCs w:val="21"/>
                <w:highlight w:val="none"/>
                <w:lang w:val="en-US" w:eastAsia="zh-CN"/>
              </w:rPr>
              <w:t>及以上</w:t>
            </w:r>
            <w:r>
              <w:rPr>
                <w:rFonts w:hint="eastAsia" w:asciiTheme="minorEastAsia" w:hAnsiTheme="minorEastAsia" w:eastAsiaTheme="minorEastAsia" w:cstheme="minorEastAsia"/>
                <w:sz w:val="21"/>
                <w:szCs w:val="21"/>
                <w:highlight w:val="none"/>
              </w:rPr>
              <w:t>医疗检验外包服务项目业绩（提供中标通知书或合同关键页复印件）每份1分，最高者得</w:t>
            </w: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cstheme="minorEastAsia"/>
                <w:sz w:val="21"/>
                <w:szCs w:val="21"/>
                <w:highlight w:val="none"/>
              </w:rPr>
              <w:t>分。不提供证明文件或证明文件不齐全不得分。</w:t>
            </w:r>
          </w:p>
        </w:tc>
        <w:tc>
          <w:tcPr>
            <w:tcW w:w="785" w:type="dxa"/>
            <w:noWrap/>
            <w:vAlign w:val="center"/>
          </w:tcPr>
          <w:p>
            <w:pPr>
              <w:spacing w:line="360" w:lineRule="exact"/>
              <w:jc w:val="center"/>
              <w:rPr>
                <w:rFonts w:hint="eastAsia" w:eastAsia="宋体"/>
                <w:kern w:val="0"/>
                <w:szCs w:val="21"/>
                <w:lang w:eastAsia="zh-CN"/>
              </w:rPr>
            </w:pPr>
            <w:r>
              <w:rPr>
                <w:rFonts w:hint="eastAsia"/>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178" w:type="dxa"/>
            <w:vMerge w:val="continue"/>
            <w:noWrap w:val="0"/>
            <w:vAlign w:val="center"/>
          </w:tcPr>
          <w:p>
            <w:pPr>
              <w:widowControl/>
              <w:spacing w:line="400" w:lineRule="exact"/>
              <w:ind w:firstLine="409" w:firstLineChars="195"/>
              <w:jc w:val="center"/>
              <w:rPr>
                <w:kern w:val="0"/>
                <w:szCs w:val="21"/>
              </w:rPr>
            </w:pPr>
          </w:p>
        </w:tc>
        <w:tc>
          <w:tcPr>
            <w:tcW w:w="6948" w:type="dxa"/>
            <w:gridSpan w:val="2"/>
            <w:noWrap w:val="0"/>
            <w:vAlign w:val="center"/>
          </w:tcPr>
          <w:p>
            <w:pPr>
              <w:spacing w:line="32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投标单位在项目实施地所属省份的实验室参加并通过2020年卫生部临检中心组织的室间质评，提供一份合格证书计0.</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分，最多计</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分，未提供不得分。</w:t>
            </w:r>
          </w:p>
        </w:tc>
        <w:tc>
          <w:tcPr>
            <w:tcW w:w="785" w:type="dxa"/>
            <w:noWrap/>
            <w:vAlign w:val="center"/>
          </w:tcPr>
          <w:p>
            <w:pPr>
              <w:spacing w:line="360" w:lineRule="exact"/>
              <w:jc w:val="center"/>
              <w:rPr>
                <w:rFonts w:hint="eastAsia"/>
                <w:kern w:val="0"/>
                <w:szCs w:val="21"/>
              </w:rPr>
            </w:pPr>
            <w:r>
              <w:rPr>
                <w:rFonts w:hint="eastAsia"/>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78" w:type="dxa"/>
            <w:vMerge w:val="restart"/>
            <w:noWrap w:val="0"/>
            <w:vAlign w:val="center"/>
          </w:tcPr>
          <w:p>
            <w:pPr>
              <w:spacing w:line="400" w:lineRule="exact"/>
              <w:rPr>
                <w:rFonts w:hint="eastAsia"/>
                <w:kern w:val="0"/>
                <w:szCs w:val="21"/>
              </w:rPr>
            </w:pPr>
          </w:p>
          <w:p>
            <w:pPr>
              <w:spacing w:line="400" w:lineRule="exact"/>
              <w:rPr>
                <w:rFonts w:hint="eastAsia"/>
                <w:kern w:val="0"/>
                <w:szCs w:val="21"/>
              </w:rPr>
            </w:pPr>
          </w:p>
          <w:p>
            <w:pPr>
              <w:spacing w:line="400" w:lineRule="exact"/>
              <w:rPr>
                <w:rFonts w:hint="eastAsia"/>
                <w:kern w:val="0"/>
                <w:szCs w:val="21"/>
              </w:rPr>
            </w:pPr>
          </w:p>
          <w:p>
            <w:pPr>
              <w:spacing w:line="400" w:lineRule="exact"/>
              <w:rPr>
                <w:rFonts w:hint="eastAsia"/>
                <w:kern w:val="0"/>
                <w:szCs w:val="21"/>
              </w:rPr>
            </w:pPr>
          </w:p>
          <w:p>
            <w:pPr>
              <w:spacing w:line="400" w:lineRule="exact"/>
              <w:rPr>
                <w:rFonts w:hint="eastAsia"/>
                <w:kern w:val="0"/>
                <w:szCs w:val="21"/>
              </w:rPr>
            </w:pPr>
          </w:p>
          <w:p>
            <w:pPr>
              <w:spacing w:line="400" w:lineRule="exact"/>
              <w:rPr>
                <w:rFonts w:hint="eastAsia"/>
                <w:kern w:val="0"/>
                <w:szCs w:val="21"/>
              </w:rPr>
            </w:pPr>
          </w:p>
          <w:p>
            <w:pPr>
              <w:spacing w:line="400" w:lineRule="exact"/>
              <w:rPr>
                <w:rFonts w:hint="eastAsia"/>
                <w:kern w:val="0"/>
                <w:szCs w:val="21"/>
              </w:rPr>
            </w:pPr>
          </w:p>
          <w:p>
            <w:pPr>
              <w:spacing w:line="400" w:lineRule="exact"/>
              <w:rPr>
                <w:kern w:val="0"/>
                <w:szCs w:val="21"/>
              </w:rPr>
            </w:pPr>
            <w:r>
              <w:rPr>
                <w:kern w:val="0"/>
                <w:szCs w:val="21"/>
              </w:rPr>
              <w:t>技术部分（</w:t>
            </w:r>
            <w:r>
              <w:rPr>
                <w:rFonts w:hint="eastAsia"/>
                <w:kern w:val="0"/>
                <w:szCs w:val="21"/>
              </w:rPr>
              <w:t>4</w:t>
            </w:r>
            <w:r>
              <w:rPr>
                <w:rFonts w:hint="eastAsia"/>
                <w:kern w:val="0"/>
                <w:szCs w:val="21"/>
                <w:lang w:val="en-US" w:eastAsia="zh-CN"/>
              </w:rPr>
              <w:t>0</w:t>
            </w:r>
            <w:r>
              <w:rPr>
                <w:kern w:val="0"/>
                <w:szCs w:val="21"/>
              </w:rPr>
              <w:t>分）</w:t>
            </w:r>
          </w:p>
        </w:tc>
        <w:tc>
          <w:tcPr>
            <w:tcW w:w="6948" w:type="dxa"/>
            <w:gridSpan w:val="2"/>
            <w:noWrap w:val="0"/>
            <w:vAlign w:val="center"/>
          </w:tcPr>
          <w:p>
            <w:pPr>
              <w:spacing w:line="400" w:lineRule="atLeast"/>
              <w:rPr>
                <w:rFonts w:hint="eastAsia" w:ascii="宋体" w:hAnsi="宋体"/>
              </w:rPr>
            </w:pPr>
            <w:r>
              <w:rPr>
                <w:rFonts w:hint="eastAsia" w:ascii="宋体" w:hAnsi="宋体"/>
              </w:rPr>
              <w:t>供应商具有先进平台、有新业务开展、具有国际专家、国内专家战略合作能力的，提供相关证明材料，磋商小组根据相关证明材料酌情打分（优得</w:t>
            </w:r>
            <w:r>
              <w:rPr>
                <w:rFonts w:hint="eastAsia" w:ascii="宋体" w:hAnsi="宋体"/>
                <w:lang w:val="en-US" w:eastAsia="zh-CN"/>
              </w:rPr>
              <w:t>4</w:t>
            </w:r>
            <w:r>
              <w:rPr>
                <w:rFonts w:hint="eastAsia" w:ascii="宋体" w:hAnsi="宋体"/>
              </w:rPr>
              <w:t>-</w:t>
            </w:r>
            <w:r>
              <w:rPr>
                <w:rFonts w:hint="eastAsia" w:ascii="宋体" w:hAnsi="宋体"/>
                <w:lang w:val="en-US" w:eastAsia="zh-CN"/>
              </w:rPr>
              <w:t>5</w:t>
            </w:r>
            <w:r>
              <w:rPr>
                <w:rFonts w:hint="eastAsia" w:ascii="宋体" w:hAnsi="宋体"/>
              </w:rPr>
              <w:t>分，良好得</w:t>
            </w:r>
            <w:r>
              <w:rPr>
                <w:rFonts w:hint="eastAsia" w:ascii="宋体" w:hAnsi="宋体"/>
                <w:lang w:val="en-US" w:eastAsia="zh-CN"/>
              </w:rPr>
              <w:t>2</w:t>
            </w:r>
            <w:r>
              <w:rPr>
                <w:rFonts w:hint="eastAsia" w:ascii="宋体" w:hAnsi="宋体"/>
              </w:rPr>
              <w:t>-</w:t>
            </w:r>
            <w:r>
              <w:rPr>
                <w:rFonts w:hint="eastAsia" w:ascii="宋体" w:hAnsi="宋体"/>
                <w:lang w:val="en-US" w:eastAsia="zh-CN"/>
              </w:rPr>
              <w:t>3</w:t>
            </w:r>
            <w:r>
              <w:rPr>
                <w:rFonts w:hint="eastAsia" w:ascii="宋体" w:hAnsi="宋体"/>
              </w:rPr>
              <w:t>分，一般得1-2分）。</w:t>
            </w:r>
          </w:p>
        </w:tc>
        <w:tc>
          <w:tcPr>
            <w:tcW w:w="785" w:type="dxa"/>
            <w:noWrap/>
            <w:vAlign w:val="center"/>
          </w:tcPr>
          <w:p>
            <w:pPr>
              <w:spacing w:line="360" w:lineRule="auto"/>
              <w:jc w:val="center"/>
              <w:rPr>
                <w:rFonts w:hint="eastAsia" w:eastAsia="宋体"/>
                <w:kern w:val="0"/>
                <w:szCs w:val="21"/>
                <w:lang w:eastAsia="zh-CN"/>
              </w:rPr>
            </w:pPr>
            <w:r>
              <w:rPr>
                <w:rFonts w:hint="eastAsia"/>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78" w:type="dxa"/>
            <w:vMerge w:val="continue"/>
            <w:noWrap w:val="0"/>
            <w:vAlign w:val="center"/>
          </w:tcPr>
          <w:p>
            <w:pPr>
              <w:spacing w:line="400" w:lineRule="exact"/>
              <w:jc w:val="center"/>
              <w:rPr>
                <w:kern w:val="0"/>
                <w:szCs w:val="21"/>
              </w:rPr>
            </w:pPr>
          </w:p>
        </w:tc>
        <w:tc>
          <w:tcPr>
            <w:tcW w:w="6948" w:type="dxa"/>
            <w:gridSpan w:val="2"/>
            <w:noWrap w:val="0"/>
            <w:vAlign w:val="center"/>
          </w:tcPr>
          <w:p>
            <w:pPr>
              <w:spacing w:line="400" w:lineRule="atLeast"/>
              <w:rPr>
                <w:rFonts w:ascii="宋体" w:hAnsi="宋体"/>
              </w:rPr>
            </w:pPr>
            <w:r>
              <w:rPr>
                <w:rFonts w:hint="eastAsia" w:ascii="宋体" w:hAnsi="宋体"/>
              </w:rPr>
              <w:t>供应商服务网络、服务范围、质量保证、运输设备、专业技术、独立先进物流、信息系统等完善可靠的，提供相关方案及承诺。方案及承诺阐述详细、完整、合理可行的，得5-6分；阐述分析较详细、基本完整、较可行的，得</w:t>
            </w:r>
            <w:r>
              <w:rPr>
                <w:rFonts w:hint="eastAsia" w:ascii="宋体" w:hAnsi="宋体"/>
                <w:lang w:val="en-US" w:eastAsia="zh-CN"/>
              </w:rPr>
              <w:t>2</w:t>
            </w:r>
            <w:r>
              <w:rPr>
                <w:rFonts w:hint="eastAsia" w:ascii="宋体" w:hAnsi="宋体"/>
              </w:rPr>
              <w:t>-</w:t>
            </w:r>
            <w:r>
              <w:rPr>
                <w:rFonts w:hint="eastAsia" w:ascii="宋体" w:hAnsi="宋体"/>
                <w:lang w:val="en-US" w:eastAsia="zh-CN"/>
              </w:rPr>
              <w:t>3</w:t>
            </w:r>
            <w:r>
              <w:rPr>
                <w:rFonts w:hint="eastAsia" w:ascii="宋体" w:hAnsi="宋体"/>
              </w:rPr>
              <w:t>分；阐述分析内容有一定可行性1-2分。未提供不得分。</w:t>
            </w:r>
          </w:p>
        </w:tc>
        <w:tc>
          <w:tcPr>
            <w:tcW w:w="785" w:type="dxa"/>
            <w:noWrap/>
            <w:vAlign w:val="center"/>
          </w:tcPr>
          <w:p>
            <w:pPr>
              <w:spacing w:line="360" w:lineRule="auto"/>
              <w:jc w:val="center"/>
              <w:rPr>
                <w:rFonts w:hint="eastAsia" w:eastAsia="宋体"/>
                <w:kern w:val="0"/>
                <w:szCs w:val="21"/>
                <w:lang w:eastAsia="zh-CN"/>
              </w:rPr>
            </w:pPr>
            <w:r>
              <w:rPr>
                <w:rFonts w:hint="eastAsia"/>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78" w:type="dxa"/>
            <w:vMerge w:val="continue"/>
            <w:noWrap w:val="0"/>
            <w:vAlign w:val="center"/>
          </w:tcPr>
          <w:p>
            <w:pPr>
              <w:spacing w:line="400" w:lineRule="exact"/>
              <w:jc w:val="center"/>
              <w:rPr>
                <w:kern w:val="0"/>
                <w:szCs w:val="21"/>
              </w:rPr>
            </w:pPr>
          </w:p>
        </w:tc>
        <w:tc>
          <w:tcPr>
            <w:tcW w:w="6948" w:type="dxa"/>
            <w:gridSpan w:val="2"/>
            <w:noWrap w:val="0"/>
            <w:vAlign w:val="center"/>
          </w:tcPr>
          <w:p>
            <w:pPr>
              <w:spacing w:line="400" w:lineRule="atLeast"/>
              <w:rPr>
                <w:rFonts w:hint="eastAsia" w:ascii="宋体" w:hAnsi="宋体"/>
              </w:rPr>
            </w:pPr>
            <w:r>
              <w:rPr>
                <w:rFonts w:hint="eastAsia" w:ascii="宋体" w:hAnsi="宋体"/>
              </w:rPr>
              <w:t>供应商提供LIS系统与物流平台的对接服务，实时查询等。针对标本、人员以及流程的管理，符合ISO15189要求的物联网管理体系，提供相关书面方案材料。方案阐述详细、完整、合理可行的，得5-6分；阐述分析较详细、基本完整、较可行的，得3-4分；阐述分析内容有一定可行性1-2分。未提供不得分。</w:t>
            </w:r>
          </w:p>
        </w:tc>
        <w:tc>
          <w:tcPr>
            <w:tcW w:w="785" w:type="dxa"/>
            <w:noWrap/>
            <w:vAlign w:val="center"/>
          </w:tcPr>
          <w:p>
            <w:pPr>
              <w:spacing w:line="360" w:lineRule="auto"/>
              <w:jc w:val="center"/>
              <w:rPr>
                <w:kern w:val="0"/>
                <w:szCs w:val="21"/>
              </w:rPr>
            </w:pPr>
            <w:r>
              <w:rPr>
                <w:rFonts w:hint="eastAsia"/>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1178" w:type="dxa"/>
            <w:vMerge w:val="continue"/>
            <w:noWrap w:val="0"/>
            <w:vAlign w:val="center"/>
          </w:tcPr>
          <w:p>
            <w:pPr>
              <w:spacing w:line="400" w:lineRule="exact"/>
              <w:ind w:firstLine="409" w:firstLineChars="195"/>
              <w:jc w:val="center"/>
              <w:rPr>
                <w:kern w:val="0"/>
                <w:szCs w:val="21"/>
              </w:rPr>
            </w:pPr>
          </w:p>
        </w:tc>
        <w:tc>
          <w:tcPr>
            <w:tcW w:w="6948" w:type="dxa"/>
            <w:gridSpan w:val="2"/>
            <w:noWrap w:val="0"/>
            <w:vAlign w:val="center"/>
          </w:tcPr>
          <w:p>
            <w:pPr>
              <w:spacing w:line="400" w:lineRule="atLeast"/>
              <w:rPr>
                <w:rFonts w:ascii="宋体" w:hAnsi="宋体"/>
              </w:rPr>
            </w:pPr>
            <w:r>
              <w:rPr>
                <w:rFonts w:hint="eastAsia" w:ascii="宋体" w:hAnsi="宋体"/>
              </w:rPr>
              <w:t>供应商针对标本交接和运输过程可能出现的意外，制定相应应急预案。意外发生时，第一时间启动应急预案，保证标本有效、及时送达提供完善的预案方法：条理清晰、针对性强、内容完整的，得</w:t>
            </w:r>
            <w:r>
              <w:rPr>
                <w:rFonts w:hint="eastAsia" w:ascii="宋体" w:hAnsi="宋体"/>
                <w:lang w:val="en-US" w:eastAsia="zh-CN"/>
              </w:rPr>
              <w:t>5</w:t>
            </w:r>
            <w:r>
              <w:rPr>
                <w:rFonts w:hint="eastAsia" w:ascii="宋体" w:hAnsi="宋体"/>
              </w:rPr>
              <w:t>-</w:t>
            </w:r>
            <w:r>
              <w:rPr>
                <w:rFonts w:hint="eastAsia" w:ascii="宋体" w:hAnsi="宋体"/>
                <w:lang w:val="en-US" w:eastAsia="zh-CN"/>
              </w:rPr>
              <w:t>6</w:t>
            </w:r>
            <w:r>
              <w:rPr>
                <w:rFonts w:hint="eastAsia" w:ascii="宋体" w:hAnsi="宋体"/>
              </w:rPr>
              <w:t>分；较有条理、有一定针对性，内容较完整的，得3-5分；有基本层次、基本能结合项目的，得1-2分；未提供不得分。</w:t>
            </w:r>
          </w:p>
        </w:tc>
        <w:tc>
          <w:tcPr>
            <w:tcW w:w="785" w:type="dxa"/>
            <w:noWrap/>
            <w:vAlign w:val="center"/>
          </w:tcPr>
          <w:p>
            <w:pPr>
              <w:spacing w:line="360" w:lineRule="auto"/>
              <w:jc w:val="center"/>
              <w:rPr>
                <w:rFonts w:hint="eastAsia" w:eastAsia="宋体"/>
                <w:kern w:val="0"/>
                <w:szCs w:val="21"/>
                <w:lang w:eastAsia="zh-CN"/>
              </w:rPr>
            </w:pPr>
            <w:r>
              <w:rPr>
                <w:rFonts w:hint="eastAsia"/>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8" w:type="dxa"/>
            <w:vMerge w:val="continue"/>
            <w:noWrap w:val="0"/>
            <w:vAlign w:val="center"/>
          </w:tcPr>
          <w:p>
            <w:pPr>
              <w:spacing w:line="400" w:lineRule="exact"/>
              <w:ind w:firstLine="409" w:firstLineChars="195"/>
              <w:jc w:val="center"/>
              <w:rPr>
                <w:kern w:val="0"/>
                <w:szCs w:val="21"/>
              </w:rPr>
            </w:pPr>
          </w:p>
        </w:tc>
        <w:tc>
          <w:tcPr>
            <w:tcW w:w="6948" w:type="dxa"/>
            <w:gridSpan w:val="2"/>
            <w:noWrap w:val="0"/>
            <w:vAlign w:val="center"/>
          </w:tcPr>
          <w:p>
            <w:pPr>
              <w:spacing w:line="400" w:lineRule="atLeast"/>
              <w:rPr>
                <w:rFonts w:hint="eastAsia" w:ascii="宋体" w:hAnsi="宋体"/>
              </w:rPr>
            </w:pPr>
            <w:r>
              <w:rPr>
                <w:rFonts w:hint="eastAsia" w:ascii="宋体" w:hAnsi="宋体"/>
              </w:rPr>
              <w:t>供应商具有国家级科研人员、科研机构提供相关证明材料能使院方实验室与第三方检验实验室的数据交换，实现检验数据信息共享。院方直接阅览外送标本报告，可支持报告打印一体机连接到医院LIS，打印LIS管理的检验报告。提供相关证明材料，全部满足的得</w:t>
            </w:r>
            <w:r>
              <w:rPr>
                <w:rFonts w:hint="eastAsia" w:ascii="宋体" w:hAnsi="宋体"/>
                <w:lang w:val="en-US" w:eastAsia="zh-CN"/>
              </w:rPr>
              <w:t>4</w:t>
            </w:r>
            <w:r>
              <w:rPr>
                <w:rFonts w:hint="eastAsia" w:ascii="宋体" w:hAnsi="宋体"/>
              </w:rPr>
              <w:t>分，无或缺项的得0分。</w:t>
            </w:r>
          </w:p>
        </w:tc>
        <w:tc>
          <w:tcPr>
            <w:tcW w:w="785" w:type="dxa"/>
            <w:noWrap/>
            <w:vAlign w:val="center"/>
          </w:tcPr>
          <w:p>
            <w:pPr>
              <w:spacing w:line="360" w:lineRule="auto"/>
              <w:jc w:val="center"/>
              <w:rPr>
                <w:rFonts w:hint="eastAsia" w:eastAsia="宋体"/>
                <w:kern w:val="0"/>
                <w:szCs w:val="21"/>
                <w:lang w:eastAsia="zh-CN"/>
              </w:rPr>
            </w:pPr>
            <w:r>
              <w:rPr>
                <w:rFonts w:hint="eastAsia"/>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78" w:type="dxa"/>
            <w:vMerge w:val="continue"/>
            <w:noWrap w:val="0"/>
            <w:vAlign w:val="center"/>
          </w:tcPr>
          <w:p>
            <w:pPr>
              <w:spacing w:line="400" w:lineRule="exact"/>
              <w:ind w:firstLine="409" w:firstLineChars="195"/>
              <w:jc w:val="center"/>
              <w:rPr>
                <w:kern w:val="0"/>
                <w:szCs w:val="21"/>
              </w:rPr>
            </w:pPr>
          </w:p>
        </w:tc>
        <w:tc>
          <w:tcPr>
            <w:tcW w:w="6948" w:type="dxa"/>
            <w:gridSpan w:val="2"/>
            <w:noWrap w:val="0"/>
            <w:vAlign w:val="center"/>
          </w:tcPr>
          <w:p>
            <w:pPr>
              <w:spacing w:line="400" w:lineRule="atLeast"/>
              <w:rPr>
                <w:rFonts w:hint="eastAsia" w:ascii="宋体" w:hAnsi="宋体"/>
              </w:rPr>
            </w:pPr>
            <w:r>
              <w:rPr>
                <w:rFonts w:hint="eastAsia" w:ascii="宋体" w:hAnsi="宋体"/>
              </w:rPr>
              <w:t>供应商提供第三方检验实验室根据院方需求制定报告模板及院方需要的特检检验报告的，得</w:t>
            </w:r>
            <w:r>
              <w:rPr>
                <w:rFonts w:hint="eastAsia" w:ascii="宋体" w:hAnsi="宋体"/>
                <w:lang w:val="en-US" w:eastAsia="zh-CN"/>
              </w:rPr>
              <w:t>5</w:t>
            </w:r>
            <w:r>
              <w:rPr>
                <w:rFonts w:hint="eastAsia" w:ascii="宋体" w:hAnsi="宋体"/>
              </w:rPr>
              <w:t>分，无或缺项的得0分。</w:t>
            </w:r>
          </w:p>
        </w:tc>
        <w:tc>
          <w:tcPr>
            <w:tcW w:w="785" w:type="dxa"/>
            <w:noWrap/>
            <w:vAlign w:val="center"/>
          </w:tcPr>
          <w:p>
            <w:pPr>
              <w:spacing w:line="360" w:lineRule="auto"/>
              <w:jc w:val="center"/>
              <w:rPr>
                <w:rFonts w:hint="eastAsia" w:eastAsia="宋体"/>
                <w:kern w:val="0"/>
                <w:szCs w:val="21"/>
                <w:lang w:eastAsia="zh-CN"/>
              </w:rPr>
            </w:pPr>
            <w:r>
              <w:rPr>
                <w:rFonts w:hint="eastAsia"/>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178" w:type="dxa"/>
            <w:vMerge w:val="continue"/>
            <w:noWrap w:val="0"/>
            <w:vAlign w:val="center"/>
          </w:tcPr>
          <w:p>
            <w:pPr>
              <w:spacing w:line="400" w:lineRule="exact"/>
              <w:ind w:firstLine="409" w:firstLineChars="195"/>
              <w:jc w:val="center"/>
              <w:rPr>
                <w:kern w:val="0"/>
                <w:szCs w:val="21"/>
              </w:rPr>
            </w:pPr>
          </w:p>
        </w:tc>
        <w:tc>
          <w:tcPr>
            <w:tcW w:w="6948" w:type="dxa"/>
            <w:gridSpan w:val="2"/>
            <w:noWrap w:val="0"/>
            <w:vAlign w:val="center"/>
          </w:tcPr>
          <w:p>
            <w:pPr>
              <w:spacing w:line="400" w:lineRule="atLeast"/>
              <w:rPr>
                <w:rFonts w:hint="eastAsia" w:ascii="宋体" w:hAnsi="宋体"/>
              </w:rPr>
            </w:pPr>
            <w:r>
              <w:rPr>
                <w:rFonts w:hint="eastAsia" w:ascii="宋体" w:hAnsi="宋体"/>
              </w:rPr>
              <w:t>供应商能建立检验用户基础信息库，提供院方通过互联网查询检验报告，通过患者的身份认证，通过网络外送检验报告服务，方便用户查询。全部满足的得</w:t>
            </w:r>
            <w:r>
              <w:rPr>
                <w:rFonts w:hint="eastAsia" w:ascii="宋体" w:hAnsi="宋体"/>
                <w:lang w:val="en-US" w:eastAsia="zh-CN"/>
              </w:rPr>
              <w:t>4</w:t>
            </w:r>
            <w:r>
              <w:rPr>
                <w:rFonts w:hint="eastAsia" w:ascii="宋体" w:hAnsi="宋体"/>
              </w:rPr>
              <w:t>分，无或缺项的得0分。</w:t>
            </w:r>
          </w:p>
        </w:tc>
        <w:tc>
          <w:tcPr>
            <w:tcW w:w="785" w:type="dxa"/>
            <w:noWrap/>
            <w:vAlign w:val="center"/>
          </w:tcPr>
          <w:p>
            <w:pPr>
              <w:spacing w:line="360" w:lineRule="auto"/>
              <w:jc w:val="center"/>
              <w:rPr>
                <w:rFonts w:hint="eastAsia" w:eastAsia="宋体"/>
                <w:kern w:val="0"/>
                <w:szCs w:val="21"/>
                <w:lang w:eastAsia="zh-CN"/>
              </w:rPr>
            </w:pPr>
            <w:r>
              <w:rPr>
                <w:rFonts w:hint="eastAsia"/>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178" w:type="dxa"/>
            <w:vMerge w:val="continue"/>
            <w:noWrap w:val="0"/>
            <w:vAlign w:val="center"/>
          </w:tcPr>
          <w:p>
            <w:pPr>
              <w:spacing w:line="400" w:lineRule="exact"/>
              <w:ind w:firstLine="409" w:firstLineChars="195"/>
              <w:jc w:val="center"/>
              <w:rPr>
                <w:kern w:val="0"/>
                <w:szCs w:val="21"/>
              </w:rPr>
            </w:pPr>
          </w:p>
        </w:tc>
        <w:tc>
          <w:tcPr>
            <w:tcW w:w="6948" w:type="dxa"/>
            <w:gridSpan w:val="2"/>
            <w:noWrap w:val="0"/>
            <w:vAlign w:val="center"/>
          </w:tcPr>
          <w:p>
            <w:pPr>
              <w:spacing w:line="400" w:lineRule="atLeast"/>
              <w:rPr>
                <w:rFonts w:hint="eastAsia" w:ascii="宋体" w:hAnsi="宋体"/>
              </w:rPr>
            </w:pPr>
            <w:r>
              <w:rPr>
                <w:rFonts w:hint="eastAsia" w:ascii="宋体" w:hAnsi="宋体"/>
              </w:rPr>
              <w:t>供应商提供第三方检验LIS系统包括实验预警，报告自定义配置，标本自动分拣，委托预警功能。全部满足的得</w:t>
            </w:r>
            <w:r>
              <w:rPr>
                <w:rFonts w:hint="eastAsia" w:ascii="宋体" w:hAnsi="宋体"/>
                <w:lang w:val="en-US" w:eastAsia="zh-CN"/>
              </w:rPr>
              <w:t>4</w:t>
            </w:r>
            <w:r>
              <w:rPr>
                <w:rFonts w:hint="eastAsia" w:ascii="宋体" w:hAnsi="宋体"/>
              </w:rPr>
              <w:t>分，无或缺项的得0分。</w:t>
            </w:r>
          </w:p>
        </w:tc>
        <w:tc>
          <w:tcPr>
            <w:tcW w:w="785" w:type="dxa"/>
            <w:noWrap/>
            <w:vAlign w:val="center"/>
          </w:tcPr>
          <w:p>
            <w:pPr>
              <w:spacing w:line="360" w:lineRule="auto"/>
              <w:jc w:val="center"/>
              <w:rPr>
                <w:rFonts w:hint="eastAsia" w:eastAsia="宋体"/>
                <w:kern w:val="0"/>
                <w:szCs w:val="21"/>
                <w:lang w:eastAsia="zh-CN"/>
              </w:rPr>
            </w:pPr>
            <w:r>
              <w:rPr>
                <w:rFonts w:hint="eastAsia"/>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126" w:type="dxa"/>
            <w:gridSpan w:val="3"/>
            <w:noWrap/>
            <w:vAlign w:val="center"/>
          </w:tcPr>
          <w:p>
            <w:pPr>
              <w:widowControl/>
              <w:spacing w:line="400" w:lineRule="exact"/>
              <w:jc w:val="center"/>
              <w:rPr>
                <w:kern w:val="0"/>
                <w:szCs w:val="21"/>
              </w:rPr>
            </w:pPr>
            <w:r>
              <w:rPr>
                <w:kern w:val="0"/>
                <w:szCs w:val="21"/>
              </w:rPr>
              <w:t>总    分</w:t>
            </w:r>
          </w:p>
        </w:tc>
        <w:tc>
          <w:tcPr>
            <w:tcW w:w="785" w:type="dxa"/>
            <w:noWrap/>
            <w:vAlign w:val="center"/>
          </w:tcPr>
          <w:p>
            <w:pPr>
              <w:widowControl/>
              <w:spacing w:line="400" w:lineRule="exact"/>
              <w:jc w:val="center"/>
              <w:rPr>
                <w:kern w:val="0"/>
                <w:szCs w:val="21"/>
              </w:rPr>
            </w:pPr>
            <w:r>
              <w:rPr>
                <w:kern w:val="0"/>
                <w:szCs w:val="21"/>
              </w:rPr>
              <w:t>100</w:t>
            </w:r>
          </w:p>
        </w:tc>
      </w:tr>
    </w:tbl>
    <w:p>
      <w:pPr>
        <w:spacing w:line="520" w:lineRule="exact"/>
        <w:ind w:firstLine="480" w:firstLineChars="200"/>
        <w:rPr>
          <w:rFonts w:hint="eastAsia" w:ascii="宋体" w:hAnsi="宋体" w:cs="宋体"/>
          <w:color w:val="000000"/>
          <w:sz w:val="24"/>
        </w:rPr>
      </w:pPr>
    </w:p>
    <w:tbl>
      <w:tblPr>
        <w:tblStyle w:val="3"/>
        <w:tblW w:w="10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01" w:type="dxa"/>
            <w:noWrap w:val="0"/>
            <w:vAlign w:val="center"/>
          </w:tcPr>
          <w:p>
            <w:pPr>
              <w:spacing w:line="360" w:lineRule="exact"/>
              <w:jc w:val="center"/>
              <w:rPr>
                <w:rFonts w:hint="eastAsia" w:ascii="宋体" w:hAnsi="宋体"/>
                <w:sz w:val="24"/>
              </w:rPr>
            </w:pPr>
            <w:r>
              <w:rPr>
                <w:rFonts w:hint="eastAsia" w:ascii="宋体" w:hAnsi="宋体"/>
                <w:sz w:val="24"/>
              </w:rPr>
              <w:t>报价方式</w:t>
            </w:r>
          </w:p>
        </w:tc>
        <w:tc>
          <w:tcPr>
            <w:tcW w:w="7827" w:type="dxa"/>
            <w:noWrap w:val="0"/>
            <w:vAlign w:val="center"/>
          </w:tcPr>
          <w:p>
            <w:pPr>
              <w:spacing w:line="360" w:lineRule="exact"/>
              <w:rPr>
                <w:rFonts w:hint="eastAsia" w:ascii="宋体" w:hAnsi="宋体"/>
                <w:sz w:val="24"/>
              </w:rPr>
            </w:pPr>
            <w:r>
              <w:rPr>
                <w:rFonts w:hint="eastAsia" w:ascii="宋体" w:hAnsi="宋体" w:cs="宋体"/>
                <w:b/>
                <w:bCs/>
                <w:color w:val="000000"/>
                <w:sz w:val="24"/>
              </w:rPr>
              <w:t>相关检验项目价格优先参照</w:t>
            </w:r>
            <w:r>
              <w:rPr>
                <w:rFonts w:hint="eastAsia" w:ascii="宋体" w:hAnsi="宋体" w:cs="宋体"/>
                <w:b/>
                <w:bCs/>
                <w:color w:val="000000"/>
                <w:sz w:val="24"/>
                <w:lang w:eastAsia="zh-CN"/>
              </w:rPr>
              <w:t>阳新县</w:t>
            </w:r>
            <w:r>
              <w:rPr>
                <w:rFonts w:hint="eastAsia" w:ascii="宋体" w:hAnsi="宋体" w:cs="宋体"/>
                <w:b/>
                <w:bCs/>
                <w:color w:val="000000"/>
                <w:sz w:val="24"/>
              </w:rPr>
              <w:t>物价</w:t>
            </w:r>
            <w:r>
              <w:rPr>
                <w:rFonts w:hint="eastAsia" w:ascii="宋体" w:hAnsi="宋体" w:cs="宋体"/>
                <w:b/>
                <w:bCs/>
                <w:color w:val="000000"/>
                <w:sz w:val="24"/>
                <w:lang w:eastAsia="zh-CN"/>
              </w:rPr>
              <w:t>、</w:t>
            </w:r>
            <w:r>
              <w:rPr>
                <w:rFonts w:hint="eastAsia" w:ascii="宋体" w:hAnsi="宋体" w:cs="宋体"/>
                <w:b/>
                <w:bCs/>
                <w:color w:val="000000"/>
                <w:sz w:val="24"/>
              </w:rPr>
              <w:t>黄石市物价、湖北省物价及自主定价进行报价，报价为标准收费的50%-70%之间进行报价。最终报价不得超过该基准率范围，否则按无效响应处理。</w:t>
            </w:r>
          </w:p>
        </w:tc>
      </w:tr>
    </w:tbl>
    <w:p>
      <w:pPr>
        <w:spacing w:line="520" w:lineRule="exact"/>
        <w:ind w:firstLine="480" w:firstLineChars="200"/>
        <w:rPr>
          <w:rFonts w:hint="eastAsia" w:ascii="宋体" w:hAnsi="宋体" w:cs="宋体"/>
          <w:b/>
          <w:color w:val="000000"/>
          <w:sz w:val="24"/>
        </w:rPr>
      </w:pPr>
      <w:r>
        <w:rPr>
          <w:rFonts w:hint="eastAsia" w:ascii="宋体" w:hAnsi="宋体" w:cs="宋体"/>
          <w:color w:val="000000"/>
          <w:sz w:val="24"/>
        </w:rPr>
        <w:t>通过</w:t>
      </w:r>
      <w:r>
        <w:rPr>
          <w:rFonts w:ascii="宋体" w:hAnsi="宋体" w:cs="宋体"/>
          <w:color w:val="000000"/>
          <w:sz w:val="24"/>
        </w:rPr>
        <w:t>竞争性</w:t>
      </w:r>
      <w:r>
        <w:rPr>
          <w:rFonts w:hint="eastAsia" w:ascii="宋体" w:hAnsi="宋体" w:cs="宋体"/>
          <w:color w:val="000000"/>
          <w:sz w:val="24"/>
        </w:rPr>
        <w:t>磋商评审，在满足竞争性磋商文件全部条款的基础上，磋商小组按照实质性响</w:t>
      </w:r>
      <w:r>
        <w:rPr>
          <w:rFonts w:hint="eastAsia" w:ascii="宋体" w:hAnsi="宋体" w:cs="Courier New"/>
          <w:color w:val="000000"/>
          <w:spacing w:val="-6"/>
          <w:sz w:val="24"/>
        </w:rPr>
        <w:t>应供应商的最终得分由高到低排列供应商顺序，</w:t>
      </w:r>
      <w:r>
        <w:rPr>
          <w:rFonts w:hint="eastAsia" w:ascii="宋体" w:hAnsi="宋体"/>
          <w:color w:val="000000"/>
          <w:sz w:val="24"/>
        </w:rPr>
        <w:t>磋商小组</w:t>
      </w:r>
      <w:r>
        <w:rPr>
          <w:rFonts w:hint="eastAsia" w:ascii="宋体" w:hAnsi="宋体" w:cs="Courier New"/>
          <w:color w:val="000000"/>
          <w:sz w:val="24"/>
        </w:rPr>
        <w:t>推荐前</w:t>
      </w:r>
      <w:r>
        <w:rPr>
          <w:rFonts w:hint="eastAsia" w:ascii="宋体" w:hAnsi="宋体" w:cs="宋体"/>
          <w:color w:val="000000"/>
          <w:sz w:val="24"/>
        </w:rPr>
        <w:t>3名为成交候选人，并编写磋商报告。</w:t>
      </w:r>
    </w:p>
    <w:p>
      <w:pPr>
        <w:spacing w:line="520" w:lineRule="exact"/>
        <w:ind w:firstLine="480" w:firstLineChars="200"/>
        <w:rPr>
          <w:rFonts w:hint="eastAsia" w:ascii="宋体" w:hAnsi="宋体" w:cs="宋体"/>
          <w:color w:val="000000"/>
          <w:sz w:val="24"/>
        </w:rPr>
      </w:pPr>
      <w:r>
        <w:rPr>
          <w:rFonts w:hint="eastAsia" w:ascii="宋体" w:hAnsi="宋体" w:cs="宋体"/>
          <w:color w:val="000000"/>
          <w:sz w:val="24"/>
        </w:rPr>
        <w:t>评审得分相同的，按照最后报价由低到高的顺序推荐；评审得分且最后报价相同的，按照综合部分优劣顺序推荐；都相同的，则现场抽签或摇号决定。</w:t>
      </w:r>
    </w:p>
    <w:p>
      <w:pPr>
        <w:spacing w:line="520" w:lineRule="exact"/>
        <w:ind w:firstLine="480" w:firstLineChars="200"/>
        <w:rPr>
          <w:rFonts w:hint="eastAsia" w:ascii="宋体" w:hAnsi="宋体" w:cs="宋体"/>
          <w:color w:val="000000"/>
          <w:sz w:val="24"/>
        </w:rPr>
      </w:pPr>
      <w:r>
        <w:rPr>
          <w:rFonts w:hint="eastAsia" w:ascii="宋体" w:hAnsi="宋体" w:cs="宋体"/>
          <w:color w:val="000000"/>
          <w:sz w:val="24"/>
        </w:rPr>
        <w:t>采购人在接到磋商报告后，依法确认成交人。</w:t>
      </w:r>
    </w:p>
    <w:p>
      <w:pPr>
        <w:spacing w:line="520" w:lineRule="exact"/>
        <w:jc w:val="center"/>
        <w:rPr>
          <w:rFonts w:hint="eastAsia" w:ascii="宋体" w:hAnsi="宋体"/>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9D4E06"/>
    <w:rsid w:val="06E9447E"/>
    <w:rsid w:val="06F447F4"/>
    <w:rsid w:val="1B1A46D8"/>
    <w:rsid w:val="205651BC"/>
    <w:rsid w:val="2D767701"/>
    <w:rsid w:val="3D9D4E06"/>
    <w:rsid w:val="4B8708F6"/>
    <w:rsid w:val="4E4F4D7D"/>
    <w:rsid w:val="4EF433FA"/>
    <w:rsid w:val="7F3832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2021-08-25T09:13:00Z</dcterms:created>
  <dc:creator>高山流水</dc:creator>
  <cp:lastModifiedBy>Xy..</cp:lastModifiedBy>
  <cp:lastPrinted>2021-08-27T00:39:00Z</cp:lastPrinted>
  <dcterms:modified xsi:type="dcterms:W3CDTF">2021-08-30T09:18:03Z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2DA1C267AF364833B769CD089BB14A97</vt:lpwstr>
  </property>
</Properties>
</file>